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57" w:rsidRPr="000E5457" w:rsidRDefault="000E5457" w:rsidP="000E5457">
      <w:pPr>
        <w:shd w:val="clear" w:color="auto" w:fill="FFFFFF"/>
        <w:spacing w:line="240" w:lineRule="auto"/>
        <w:jc w:val="center"/>
        <w:rPr>
          <w:rFonts w:ascii="OpenSansRegular" w:eastAsia="Times New Roman" w:hAnsi="OpenSansRegular" w:cs="Times New Roman"/>
          <w:b/>
          <w:color w:val="333333"/>
          <w:sz w:val="28"/>
          <w:szCs w:val="28"/>
          <w:lang w:eastAsia="ru-RU"/>
        </w:rPr>
      </w:pPr>
      <w:r w:rsidRPr="000E5457">
        <w:rPr>
          <w:rFonts w:ascii="OpenSansRegular" w:eastAsia="Times New Roman" w:hAnsi="OpenSansRegular" w:cs="Times New Roman"/>
          <w:b/>
          <w:color w:val="333333"/>
          <w:sz w:val="28"/>
          <w:szCs w:val="28"/>
          <w:lang w:eastAsia="ru-RU"/>
        </w:rPr>
        <w:t xml:space="preserve">Прошла пресс-конференция </w:t>
      </w:r>
      <w:bookmarkStart w:id="0" w:name="_GoBack"/>
      <w:r w:rsidRPr="000E5457">
        <w:rPr>
          <w:rFonts w:ascii="OpenSansRegular" w:eastAsia="Times New Roman" w:hAnsi="OpenSansRegular" w:cs="Times New Roman"/>
          <w:b/>
          <w:color w:val="333333"/>
          <w:sz w:val="28"/>
          <w:szCs w:val="28"/>
          <w:lang w:eastAsia="ru-RU"/>
        </w:rPr>
        <w:t>на тему «О проводимой работе по развитию телекоммуникационной инфраструктуры»</w:t>
      </w:r>
    </w:p>
    <w:bookmarkEnd w:id="0"/>
    <w:p w:rsidR="000E5457" w:rsidRPr="000E5457" w:rsidRDefault="000E5457" w:rsidP="000E54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 xml:space="preserve">Сегодня, 11 декабря 2020 года в </w:t>
      </w:r>
      <w:proofErr w:type="spellStart"/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Агенстве</w:t>
      </w:r>
      <w:proofErr w:type="spellEnd"/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 xml:space="preserve"> информатизации и массовых коммуникаций при Администрации Президента Республики Узбекистан прошла пресс-конференция, посвященная проводимой работе по развитию телекоммуникационной инфраструктуры.</w:t>
      </w:r>
    </w:p>
    <w:p w:rsidR="000E5457" w:rsidRDefault="000E5457" w:rsidP="000E5457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0E5457" w:rsidRPr="000E5457" w:rsidRDefault="000E5457" w:rsidP="000E5457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В пресс-конференции приняли участие ответственные сотрудники Министерства по развитию информационных технологий и коммуникаций, а также представители средств массовой информации. На нем представителям средств массовой информации была представлена информация о проводимой работе в сфере информационно-коммуникационных технологий.</w:t>
      </w:r>
    </w:p>
    <w:p w:rsidR="000E5457" w:rsidRPr="000E5457" w:rsidRDefault="000E5457" w:rsidP="000E5457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В настоящее время в республике осуществляется последовательная работа по развитию современных информационных технологий и коммуникаций, созданию целостной системы оказания электронных государственных услуг, внедрению новых механизмов по взаимодействию государственных органов с населением.</w:t>
      </w:r>
    </w:p>
    <w:p w:rsidR="000E5457" w:rsidRPr="000E5457" w:rsidRDefault="000E5457" w:rsidP="000E54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Символично и то, что 2020 год у нас в стране объявлен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Годом развития науки, просвещения и цифровой экономики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. В текущем году в сфере информационно-коммуникационных технологий был реализован ряд масштабных проектов.</w:t>
      </w:r>
    </w:p>
    <w:p w:rsidR="000E5457" w:rsidRDefault="000E5457" w:rsidP="000E54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0E5457" w:rsidRPr="000E5457" w:rsidRDefault="000E5457" w:rsidP="000E54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28 апреля 2020 года было принято постановление Президента «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О мерах по широкому внедрению цифровой экономики и электронного правительства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». В соответствии с документом, в Министерстве по развитию информационных технологий и коммуникаций было создана комплексная система по развитию цифровой экономики.</w:t>
      </w:r>
    </w:p>
    <w:p w:rsidR="000E5457" w:rsidRDefault="000E5457" w:rsidP="000E54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0E5457" w:rsidRPr="000E5457" w:rsidRDefault="000E5457" w:rsidP="000E54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Согласно постановлению, вопросы развития электронного правительства, </w:t>
      </w:r>
      <w:proofErr w:type="spellStart"/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экономических отраслей и сельского хозяйства, организации и управления IT-парками полностью перешли в ведение Министерства. В 2020-2022 годах запланирована реализация в общей сложности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268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проектов, в частности, в рамках развития системы «Электронное правительство» —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104 проекта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, в реальном секторе экономики –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87 проектов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, по развитию телекоммуникационной инфраструктуры —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35 проектов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, аграрной сферы –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24 проекта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, IT-парков –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18 проектов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. На Министерство по развитию информационных технологий и коммуникаций возложены полномочия по классификации базы данных государственных ведомств, их подключению к межведомственной интеграционной платформе, внедрению единых технологических требований по электронному сотрудничеству.</w:t>
      </w:r>
    </w:p>
    <w:p w:rsidR="000E5457" w:rsidRDefault="000E5457" w:rsidP="000E54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0E5457" w:rsidRPr="000E5457" w:rsidRDefault="000E5457" w:rsidP="000E54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lastRenderedPageBreak/>
        <w:t>Вместе с этим, с целью обеспечения ускоренного цифрового развития Республики Узбекистан, устранения цифрового разрыва в регионах, повышения эффективности государственного управления, оказания удобных государственных услуг для бизнеса и населения был принят Указ Президента Республики Узбекистан «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Об утверждении Стратегии «Цифровой Узбекистан — 2030» и мерах по ее эффективной реализации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»</w:t>
      </w:r>
      <w:r w:rsidRPr="000E5457">
        <w:rPr>
          <w:rFonts w:ascii="OpenSansRegular" w:eastAsia="Times New Roman" w:hAnsi="OpenSansRegular" w:cs="Times New Roman"/>
          <w:i/>
          <w:iCs/>
          <w:color w:val="000000"/>
          <w:sz w:val="28"/>
          <w:szCs w:val="28"/>
          <w:lang w:eastAsia="ru-RU"/>
        </w:rPr>
        <w:t> (№УП-6079, 05.10.2020).</w:t>
      </w:r>
    </w:p>
    <w:p w:rsidR="000E5457" w:rsidRDefault="000E5457" w:rsidP="000E54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0E5457" w:rsidRPr="000E5457" w:rsidRDefault="000E5457" w:rsidP="000E54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В соответствии с указом в 2020-2022 годах в ходе цифровой трансформации регионов и отраслей намечено повысить уровень охвата Интернетом в населенных пунктах, в том числе довести количество установленных портов широкополосного доступа до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2,5 миллиона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единиц, проложить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20 тысяч километров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оптоволоконных кабелей связи, посредством развития сетей мобильной связи повысить уровень охвата широкополосной мобильной связью до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95 процентов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.</w:t>
      </w:r>
    </w:p>
    <w:p w:rsidR="000E5457" w:rsidRDefault="000E5457" w:rsidP="000E54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0E5457" w:rsidRPr="000E5457" w:rsidRDefault="000E5457" w:rsidP="000E54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В настоящее время общая пропускная способность международной сети передачи данных доведена до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1 200 Гбит/с.</w:t>
      </w:r>
    </w:p>
    <w:p w:rsidR="000E5457" w:rsidRDefault="000E5457" w:rsidP="000E54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0E5457" w:rsidRDefault="000E5457" w:rsidP="000E54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</w:pP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Тариф на оказание Интернет-услуг для операторов и провайдеров был снижен на 20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 процента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, и сегодня составляет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 xml:space="preserve">45,0 тысяч </w:t>
      </w:r>
      <w:proofErr w:type="spellStart"/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сумов</w:t>
      </w:r>
      <w:proofErr w:type="spellEnd"/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(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4,3 доллара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) за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 Мбит/с.</w:t>
      </w:r>
    </w:p>
    <w:p w:rsidR="000E5457" w:rsidRPr="000E5457" w:rsidRDefault="000E5457" w:rsidP="000E54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0E5457" w:rsidRDefault="000E5457" w:rsidP="000E54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Количество пользователей Интернет-услуг достигло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22,1 миллиона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, из них количество пользователей мобильным Интернетом составляет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19 миллионов 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человек.</w:t>
      </w:r>
    </w:p>
    <w:p w:rsidR="000E5457" w:rsidRPr="000E5457" w:rsidRDefault="000E5457" w:rsidP="000E54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0E5457" w:rsidRPr="000E5457" w:rsidRDefault="000E5457" w:rsidP="000E54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Реализовано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2 проекта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по дальнейшему развитию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магистральных транспортных телекоммуникационных сетей, 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по результатам которых были проведены строительно-монтажные работы на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237 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объектах.</w:t>
      </w:r>
    </w:p>
    <w:p w:rsidR="000E5457" w:rsidRDefault="000E5457" w:rsidP="000E54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0E5457" w:rsidRPr="000E5457" w:rsidRDefault="000E5457" w:rsidP="000E54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Также, в рамках реализации проекта строительства </w:t>
      </w:r>
      <w:proofErr w:type="spellStart"/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оптовоколонных</w:t>
      </w:r>
      <w:proofErr w:type="spellEnd"/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линий связи было проложено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19 тысяч километров 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оптоволоконных линий связи, и тем самым их общая протяженность была доведена до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55,6 тысячи километров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(согласно годовому плану – </w:t>
      </w:r>
      <w:r w:rsidRPr="000E5457">
        <w:rPr>
          <w:rFonts w:ascii="OpenSansRegular" w:eastAsia="Times New Roman" w:hAnsi="OpenSansRegular" w:cs="Times New Roman"/>
          <w:b/>
          <w:bCs/>
          <w:i/>
          <w:iCs/>
          <w:color w:val="000000"/>
          <w:sz w:val="28"/>
          <w:szCs w:val="28"/>
          <w:lang w:eastAsia="ru-RU"/>
        </w:rPr>
        <w:t>10 тысяч километров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).</w:t>
      </w:r>
    </w:p>
    <w:p w:rsidR="000E5457" w:rsidRDefault="000E5457" w:rsidP="000E54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</w:pPr>
    </w:p>
    <w:p w:rsidR="000E5457" w:rsidRPr="000E5457" w:rsidRDefault="000E5457" w:rsidP="000E54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С целью развития мобильных сетей связи 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в течение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11 месяцев 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этого года было возведено и запущено в строй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4,5 тысячи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, модернизировано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3 тысячи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базовых станций мобильной связи. В результате уровень охвата мобильной связью населенных пунктов в республике достиг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97 процентов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, а уровень охвата широкополосной мобильной связью –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 87 процентов.</w:t>
      </w:r>
    </w:p>
    <w:p w:rsidR="000E5457" w:rsidRDefault="000E5457" w:rsidP="000E54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0E5457" w:rsidRPr="000E5457" w:rsidRDefault="000E5457" w:rsidP="000E54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С целью увеличения уровня охвата широкополосной Интернет-связью по республике был осуществлен монтаж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 миллиона портов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, и таким образом количество портов широкополосного доступа достигло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3 миллионов единиц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.</w:t>
      </w:r>
    </w:p>
    <w:p w:rsidR="000E5457" w:rsidRPr="000E5457" w:rsidRDefault="000E5457" w:rsidP="000E54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lastRenderedPageBreak/>
        <w:t>Введен в строй Центр обработки данных с вместимостью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5 Петабайт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.</w:t>
      </w:r>
    </w:p>
    <w:p w:rsidR="000E5457" w:rsidRDefault="000E5457" w:rsidP="000E5457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0E5457" w:rsidRPr="000E5457" w:rsidRDefault="000E5457" w:rsidP="000E5457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Также в текущем году в свободной экономической зоне «Джизак» начало свою работу совместное предприятие по производству оптоволоконных кабелей связи.</w:t>
      </w:r>
    </w:p>
    <w:p w:rsidR="000E5457" w:rsidRPr="000E5457" w:rsidRDefault="000E5457" w:rsidP="000E54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Масштабная работа осуществляется в рамках обеспечения высокоскоростной Интернет-связью социальных объектов. 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В частности, в республике насчитывается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10 154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общеобразовательные школы,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5 781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дошкольное образовательное учреждение и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3 527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объектов здравоохранения. По состоянию на 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u w:val="single"/>
          <w:lang w:eastAsia="ru-RU"/>
        </w:rPr>
        <w:t>1 декабря текущего года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проложено порядка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12 867 километров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</w:t>
      </w:r>
      <w:proofErr w:type="spellStart"/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оптовоколонных</w:t>
      </w:r>
      <w:proofErr w:type="spellEnd"/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линий связи. В результате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7 150 школ (70 процентов)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,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4 581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дошкольное образовательное учреждение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(80 процентов)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и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2 747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объектов здравоохранения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(78 процентов) 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обеспечены высокоскоростной Интернет-связью.</w:t>
      </w:r>
    </w:p>
    <w:p w:rsidR="000E5457" w:rsidRDefault="000E5457" w:rsidP="000E5457">
      <w:pPr>
        <w:shd w:val="clear" w:color="auto" w:fill="FFFFFF"/>
        <w:spacing w:after="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0E5457" w:rsidRPr="000E5457" w:rsidRDefault="000E5457" w:rsidP="000E5457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К концу этого года намечено довести уровень охвата высокоскоростной Интернет-связью дошкольных образовательных учреждений и объектов здравоохранения до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100 процентов. 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Также в ходе развития телекоммуникационной </w:t>
      </w:r>
      <w:proofErr w:type="spellStart"/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инфраструктурқ</w:t>
      </w:r>
      <w:proofErr w:type="spellEnd"/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в 2021 году намечено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386,5 миллиона долларов</w:t>
      </w: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 зарубежных инвестиций. В их числе для развития мобильных сетей связи будут реализованы проекты на сумму </w:t>
      </w:r>
      <w:r w:rsidRPr="000E5457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136,9 миллиона долларов.</w:t>
      </w:r>
    </w:p>
    <w:p w:rsidR="000E5457" w:rsidRDefault="000E5457" w:rsidP="000E5457">
      <w:pPr>
        <w:shd w:val="clear" w:color="auto" w:fill="FFFFFF"/>
        <w:spacing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0E5457" w:rsidRPr="000E5457" w:rsidRDefault="000E5457" w:rsidP="000E5457">
      <w:pPr>
        <w:shd w:val="clear" w:color="auto" w:fill="FFFFFF"/>
        <w:spacing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0E5457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По итогам пресс-конференции специалисты ответили на вопросы представителей средств массовой информации.</w:t>
      </w:r>
    </w:p>
    <w:p w:rsidR="00093A47" w:rsidRPr="000E5457" w:rsidRDefault="000E5457">
      <w:pPr>
        <w:rPr>
          <w:sz w:val="28"/>
          <w:szCs w:val="28"/>
        </w:rPr>
      </w:pPr>
    </w:p>
    <w:sectPr w:rsidR="00093A47" w:rsidRPr="000E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BA"/>
    <w:rsid w:val="000E5457"/>
    <w:rsid w:val="001017B7"/>
    <w:rsid w:val="0017291E"/>
    <w:rsid w:val="001E19BA"/>
    <w:rsid w:val="00754EFC"/>
    <w:rsid w:val="008214D0"/>
    <w:rsid w:val="00863418"/>
    <w:rsid w:val="00897F95"/>
    <w:rsid w:val="009300DC"/>
    <w:rsid w:val="00C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0388D-4F37-46D8-9EA3-D9C722C5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457"/>
    <w:rPr>
      <w:b/>
      <w:bCs/>
    </w:rPr>
  </w:style>
  <w:style w:type="character" w:styleId="a5">
    <w:name w:val="Emphasis"/>
    <w:basedOn w:val="a0"/>
    <w:uiPriority w:val="20"/>
    <w:qFormat/>
    <w:rsid w:val="000E54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6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5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09277">
          <w:marLeft w:val="-37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200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2021-01-04T06:21:00Z</dcterms:created>
  <dcterms:modified xsi:type="dcterms:W3CDTF">2021-01-04T06:23:00Z</dcterms:modified>
</cp:coreProperties>
</file>